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B468" w14:textId="7484CDD6" w:rsidR="006C4EA0" w:rsidRPr="00CB2654" w:rsidRDefault="00853981">
      <w:pPr>
        <w:pStyle w:val="P68B1DB1-Normale1"/>
        <w:ind w:left="-142" w:right="-292"/>
        <w:rPr>
          <w:lang w:val="fr-FR"/>
        </w:rPr>
      </w:pPr>
      <w:r w:rsidRPr="00CB2654">
        <w:rPr>
          <w:lang w:val="fr-FR"/>
        </w:rPr>
        <w:t xml:space="preserve">Communiqué de presse n.21/2022 </w:t>
      </w:r>
    </w:p>
    <w:p w14:paraId="22C535CD" w14:textId="47F188E4" w:rsidR="006C4EA0" w:rsidRPr="00CB2654" w:rsidRDefault="00853981">
      <w:pPr>
        <w:pStyle w:val="P68B1DB1-Normale1"/>
        <w:ind w:left="-142" w:right="-292"/>
        <w:rPr>
          <w:lang w:val="fr-FR"/>
        </w:rPr>
      </w:pPr>
      <w:r w:rsidRPr="00CB2654">
        <w:rPr>
          <w:lang w:val="fr-FR"/>
        </w:rPr>
        <w:t xml:space="preserve">               </w:t>
      </w:r>
    </w:p>
    <w:p w14:paraId="307FBE15" w14:textId="77777777" w:rsidR="006C4EA0" w:rsidRPr="00CB2654" w:rsidRDefault="00853981">
      <w:pPr>
        <w:pStyle w:val="P68B1DB1-Normale2"/>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fr-FR"/>
        </w:rPr>
      </w:pPr>
      <w:r w:rsidRPr="00CB2654">
        <w:rPr>
          <w:lang w:val="fr-FR"/>
        </w:rPr>
        <w:t>EIMA 2022, un pôle mondial pour la mécanique agricole</w:t>
      </w:r>
    </w:p>
    <w:p w14:paraId="2FABF6DC" w14:textId="0A75C787" w:rsidR="006C4EA0" w:rsidRPr="00CB2654" w:rsidRDefault="00853981">
      <w:pPr>
        <w:pStyle w:val="P68B1DB1-Normale3"/>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fr-FR"/>
        </w:rPr>
      </w:pPr>
      <w:r w:rsidRPr="00CB2654">
        <w:rPr>
          <w:lang w:val="fr-FR"/>
        </w:rPr>
        <w:t>Des exposants de 40 pays, des visiteurs provenant de 160 pays, des délégations officielles de l'ICE de 80 pays, telles sont les références du salon international de la mécanique agricole qui aura lieu à Bologne du 9 au 13 novembre. Un Pavillon entier consa</w:t>
      </w:r>
      <w:r w:rsidRPr="00CB2654">
        <w:rPr>
          <w:lang w:val="fr-FR"/>
        </w:rPr>
        <w:t>cré aux rencontres «</w:t>
      </w:r>
      <w:r w:rsidR="00DA69B4">
        <w:rPr>
          <w:lang w:val="fr-FR"/>
        </w:rPr>
        <w:t> </w:t>
      </w:r>
      <w:r w:rsidRPr="00CB2654">
        <w:rPr>
          <w:lang w:val="fr-FR"/>
        </w:rPr>
        <w:t>business-to-business</w:t>
      </w:r>
      <w:r w:rsidR="00DA69B4">
        <w:rPr>
          <w:lang w:val="fr-FR"/>
        </w:rPr>
        <w:t> </w:t>
      </w:r>
      <w:r w:rsidRPr="00CB2654">
        <w:rPr>
          <w:lang w:val="fr-FR"/>
        </w:rPr>
        <w:t>», et un programme qui prévoit des journées «</w:t>
      </w:r>
      <w:r w:rsidR="00DA69B4">
        <w:rPr>
          <w:lang w:val="fr-FR"/>
        </w:rPr>
        <w:t> </w:t>
      </w:r>
      <w:r w:rsidRPr="00CB2654">
        <w:rPr>
          <w:lang w:val="fr-FR"/>
        </w:rPr>
        <w:t>focus</w:t>
      </w:r>
      <w:r w:rsidR="00DA69B4">
        <w:rPr>
          <w:lang w:val="fr-FR"/>
        </w:rPr>
        <w:t> </w:t>
      </w:r>
      <w:r w:rsidRPr="00CB2654">
        <w:rPr>
          <w:lang w:val="fr-FR"/>
        </w:rPr>
        <w:t>» et des événements de vulgarisation pour favoriser la rencontre entre demande et offre de technologies pour chaque modèle d'agriculture.</w:t>
      </w:r>
    </w:p>
    <w:p w14:paraId="732A177B" w14:textId="4C749EB9" w:rsidR="006C4EA0" w:rsidRPr="00CB2654" w:rsidRDefault="00853981">
      <w:pPr>
        <w:pStyle w:val="P68B1DB1-Normale4"/>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fr-FR"/>
        </w:rPr>
      </w:pPr>
      <w:r w:rsidRPr="00CB2654">
        <w:rPr>
          <w:lang w:val="fr-FR"/>
        </w:rPr>
        <w:t>L’exposition des machines, des équipements et des composants pour l’agriculture et l'entretien des espaces verts EIMA – à Bologne du 9 au 13 novembre – confirme sa dimension internationale. 480 industries exposantes étrangères, représentant une quarantaine</w:t>
      </w:r>
      <w:r w:rsidRPr="00CB2654">
        <w:rPr>
          <w:lang w:val="fr-FR"/>
        </w:rPr>
        <w:t xml:space="preserve"> de pays, et un public de</w:t>
      </w:r>
      <w:r w:rsidRPr="00CB2654">
        <w:rPr>
          <w:lang w:val="fr-FR"/>
        </w:rPr>
        <w:t xml:space="preserve"> visiteurs (317</w:t>
      </w:r>
      <w:r w:rsidR="00DA69B4">
        <w:rPr>
          <w:lang w:val="fr-FR"/>
        </w:rPr>
        <w:t> </w:t>
      </w:r>
      <w:r w:rsidRPr="00CB2654">
        <w:rPr>
          <w:lang w:val="fr-FR"/>
        </w:rPr>
        <w:t>000 lors de l'édition 2018 et 270</w:t>
      </w:r>
      <w:r w:rsidR="00DA69B4">
        <w:rPr>
          <w:lang w:val="fr-FR"/>
        </w:rPr>
        <w:t> </w:t>
      </w:r>
      <w:r w:rsidRPr="00CB2654">
        <w:rPr>
          <w:lang w:val="fr-FR"/>
        </w:rPr>
        <w:t>400 pour l'édition 2021, qui s'est déroulée en régime de restrictions à cause de l’urgence sanitaire) provenant de 160 pays. Le Service Internationalisation de FederUnacoma – la fé</w:t>
      </w:r>
      <w:r w:rsidRPr="00CB2654">
        <w:rPr>
          <w:lang w:val="fr-FR"/>
        </w:rPr>
        <w:t>dération des constructeurs, organisateur direct de l'exposition – a également fait connaître la liste des délégations officielles organisées par l’Agence ICE en collaboration avec FederUnacoma, qui comprend 450 opérateurs économiques et journalistes étrang</w:t>
      </w:r>
      <w:r w:rsidRPr="00CB2654">
        <w:rPr>
          <w:lang w:val="fr-FR"/>
        </w:rPr>
        <w:t>ers sélectionnés parmi 80 pays représentant les cinq continents. Comme lors de la précédente édition d'EIMA, le «</w:t>
      </w:r>
      <w:r w:rsidR="00DA69B4">
        <w:rPr>
          <w:lang w:val="fr-FR"/>
        </w:rPr>
        <w:t> </w:t>
      </w:r>
      <w:r w:rsidRPr="00CB2654">
        <w:rPr>
          <w:lang w:val="fr-FR"/>
        </w:rPr>
        <w:t>Pavillon des Délégations Internationales</w:t>
      </w:r>
      <w:r w:rsidR="00DA69B4">
        <w:rPr>
          <w:lang w:val="fr-FR"/>
        </w:rPr>
        <w:t> </w:t>
      </w:r>
      <w:r w:rsidRPr="00CB2654">
        <w:rPr>
          <w:lang w:val="fr-FR"/>
        </w:rPr>
        <w:t>» (3</w:t>
      </w:r>
      <w:r w:rsidR="00DA69B4">
        <w:rPr>
          <w:lang w:val="fr-FR"/>
        </w:rPr>
        <w:t> </w:t>
      </w:r>
      <w:r w:rsidRPr="00CB2654">
        <w:rPr>
          <w:lang w:val="fr-FR"/>
        </w:rPr>
        <w:t>000 mètres carrés), situé à l'intérieur du parc des expositions entre le Pavillon 19 et le Centr</w:t>
      </w:r>
      <w:r w:rsidRPr="00CB2654">
        <w:rPr>
          <w:lang w:val="fr-FR"/>
        </w:rPr>
        <w:t xml:space="preserve">e des Congrès a été prévu pour eux. Cette zone – également préparée avec des services d'interprétation et de conseil contractuel, financier et d'assurance, ainsi que d'accueil – </w:t>
      </w:r>
      <w:r w:rsidR="00CB2654" w:rsidRPr="00CB2654">
        <w:rPr>
          <w:lang w:val="fr-FR"/>
        </w:rPr>
        <w:t>accueillera</w:t>
      </w:r>
      <w:r w:rsidRPr="00CB2654">
        <w:rPr>
          <w:lang w:val="fr-FR"/>
        </w:rPr>
        <w:t xml:space="preserve"> le programme dense de rencontres business-to-business entre opérate</w:t>
      </w:r>
      <w:r w:rsidRPr="00CB2654">
        <w:rPr>
          <w:lang w:val="fr-FR"/>
        </w:rPr>
        <w:t>urs et entreprises italiennes exposantes, présélectionné</w:t>
      </w:r>
      <w:r w:rsidR="00DA69B4">
        <w:rPr>
          <w:lang w:val="fr-FR"/>
        </w:rPr>
        <w:t>e</w:t>
      </w:r>
      <w:bookmarkStart w:id="0" w:name="_GoBack"/>
      <w:bookmarkEnd w:id="0"/>
      <w:r w:rsidRPr="00CB2654">
        <w:rPr>
          <w:lang w:val="fr-FR"/>
        </w:rPr>
        <w:t xml:space="preserve">s en fonction de l'intérêt spécifique des opérateurs pour les différents types de produits. Trois journées « focus » ont été programmées, les 8, 9 et 10 novembre, consacrées respectivement à certains </w:t>
      </w:r>
      <w:r w:rsidRPr="00CB2654">
        <w:rPr>
          <w:lang w:val="fr-FR"/>
        </w:rPr>
        <w:t>marchés d'Amérique latine et Canada, d'Asie et Océanie et d'Europe. En plus des réunions d’affaires, les opérateurs étrangers pourront profiter de visites d'information pour connaître les nouveautés de produit et de conférences programmées pour approfondir</w:t>
      </w:r>
      <w:r w:rsidRPr="00CB2654">
        <w:rPr>
          <w:lang w:val="fr-FR"/>
        </w:rPr>
        <w:t xml:space="preserve"> des thèmes d’intérêt stratégique pour les différentes régions de la planète, comme par exemple celle promue par FederUnacoma sur le rôle des nouvelles technologies pour l’utilisation rationnelle de l'eau face au changement climatique et aux processus de d</w:t>
      </w:r>
      <w:r w:rsidRPr="00CB2654">
        <w:rPr>
          <w:lang w:val="fr-FR"/>
        </w:rPr>
        <w:t>ésertification. Du reste – comme le soulignent les organisateurs de FederUnacoma – l’exposition de Bologne s'est affirmée au fil des ans comme le siège non seulement des activités commerciales liées au secteur de la mécanique agricole, mais aussi pour la d</w:t>
      </w:r>
      <w:r w:rsidRPr="00CB2654">
        <w:rPr>
          <w:lang w:val="fr-FR"/>
        </w:rPr>
        <w:t>iffusion des connaissances sur les innovations technologiques les plus adaptées aux différents modèles d'agriculture, dans les différents contextes environnementaux.</w:t>
      </w:r>
    </w:p>
    <w:p w14:paraId="4B4D34D8" w14:textId="77777777" w:rsidR="006C4EA0" w:rsidRPr="00CB2654" w:rsidRDefault="006C4EA0">
      <w:pPr>
        <w:spacing w:before="120" w:after="120"/>
        <w:ind w:left="-142" w:right="-292"/>
        <w:jc w:val="both"/>
        <w:rPr>
          <w:rFonts w:cs="Times New Roman"/>
          <w:b/>
          <w:color w:val="333333"/>
          <w:sz w:val="28"/>
          <w:shd w:val="clear" w:color="auto" w:fill="FFFFFF"/>
          <w:lang w:val="fr-FR"/>
        </w:rPr>
      </w:pPr>
    </w:p>
    <w:p w14:paraId="79750EC4" w14:textId="6EEF1517" w:rsidR="006C4EA0" w:rsidRPr="00CB2654" w:rsidRDefault="00853981">
      <w:pPr>
        <w:pStyle w:val="P68B1DB1-Normale5"/>
        <w:spacing w:before="120" w:after="120"/>
        <w:ind w:left="-142" w:right="-292"/>
        <w:jc w:val="both"/>
        <w:rPr>
          <w:lang w:val="fr-FR"/>
        </w:rPr>
      </w:pPr>
      <w:r w:rsidRPr="00CB2654">
        <w:rPr>
          <w:lang w:val="fr-FR"/>
        </w:rPr>
        <w:t>Rome, le 29 octobre 2022</w:t>
      </w:r>
    </w:p>
    <w:p w14:paraId="13F5521F" w14:textId="77777777" w:rsidR="006C4EA0" w:rsidRPr="00CB2654" w:rsidRDefault="006C4EA0">
      <w:pPr>
        <w:shd w:val="clear" w:color="auto" w:fill="FFFFFF"/>
        <w:spacing w:line="233" w:lineRule="atLeast"/>
        <w:ind w:left="-142"/>
        <w:jc w:val="both"/>
        <w:rPr>
          <w:rFonts w:eastAsia="Times New Roman" w:cs="Times New Roman"/>
          <w:b/>
          <w:color w:val="333333"/>
          <w:lang w:val="fr-FR"/>
        </w:rPr>
      </w:pPr>
    </w:p>
    <w:sectPr w:rsidR="006C4EA0" w:rsidRPr="00CB265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8CEE5" w14:textId="77777777" w:rsidR="00853981" w:rsidRDefault="00853981">
      <w:r>
        <w:separator/>
      </w:r>
    </w:p>
  </w:endnote>
  <w:endnote w:type="continuationSeparator" w:id="0">
    <w:p w14:paraId="22D90546" w14:textId="77777777" w:rsidR="00853981" w:rsidRDefault="0085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444A4" w14:textId="77777777" w:rsidR="00853981" w:rsidRDefault="00853981">
      <w:r>
        <w:separator/>
      </w:r>
    </w:p>
  </w:footnote>
  <w:footnote w:type="continuationSeparator" w:id="0">
    <w:p w14:paraId="4363F37A" w14:textId="77777777" w:rsidR="00853981" w:rsidRDefault="0085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B16F585" w:rsidR="006C4EA0" w:rsidRDefault="00853981">
    <w:pPr>
      <w:pStyle w:val="Intestazione"/>
      <w:tabs>
        <w:tab w:val="clear" w:pos="9638"/>
        <w:tab w:val="right" w:pos="7485"/>
      </w:tabs>
    </w:pPr>
    <w:sdt>
      <w:sdtPr>
        <w:id w:val="-1783951884"/>
        <w:docPartObj>
          <w:docPartGallery w:val="Page Numbers (Margins)"/>
          <w:docPartUnique/>
        </w:docPartObj>
      </w:sdtPr>
      <w:sdtEndPr/>
      <w:sdtContent>
        <w:r>
          <w:rPr>
            <w:noProof/>
          </w:rPr>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6C4EA0" w:rsidRDefault="00853981">
                            <w:pPr>
                              <w:pStyle w:val="P68B1DB1-Intestazione6"/>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w:r>
      </w:sdtContent>
    </w:sdt>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6C4EA0" w:rsidRDefault="00853981">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4F78"/>
    <w:rsid w:val="005E71D7"/>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4EA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40A91"/>
    <w:rsid w:val="00846472"/>
    <w:rsid w:val="00851134"/>
    <w:rsid w:val="00853981"/>
    <w:rsid w:val="008553FB"/>
    <w:rsid w:val="00855B87"/>
    <w:rsid w:val="008910CF"/>
    <w:rsid w:val="00892EB6"/>
    <w:rsid w:val="00893AAD"/>
    <w:rsid w:val="008953FF"/>
    <w:rsid w:val="00895ECB"/>
    <w:rsid w:val="00896574"/>
    <w:rsid w:val="008A05DC"/>
    <w:rsid w:val="008A094D"/>
    <w:rsid w:val="008A192E"/>
    <w:rsid w:val="008A2E06"/>
    <w:rsid w:val="008A4742"/>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B2654"/>
    <w:rsid w:val="00CC1C6F"/>
    <w:rsid w:val="00CC47D8"/>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51AA0"/>
    <w:rsid w:val="00D54242"/>
    <w:rsid w:val="00D560A4"/>
    <w:rsid w:val="00D616AE"/>
    <w:rsid w:val="00D63F7C"/>
    <w:rsid w:val="00D722A1"/>
    <w:rsid w:val="00D9668A"/>
    <w:rsid w:val="00DA69B4"/>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5EA3"/>
    <w:rsid w:val="00EB3652"/>
    <w:rsid w:val="00EC5741"/>
    <w:rsid w:val="00EC7C0C"/>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paragraph" w:customStyle="1" w:styleId="P68B1DB1-Normale1">
    <w:name w:val="P68B1DB1-Normale1"/>
    <w:basedOn w:val="Normale"/>
    <w:rPr>
      <w:rFonts w:cs="Times New Roman"/>
    </w:rPr>
  </w:style>
  <w:style w:type="paragraph" w:customStyle="1" w:styleId="P68B1DB1-Normale2">
    <w:name w:val="P68B1DB1-Normale2"/>
    <w:basedOn w:val="Normale"/>
    <w:rPr>
      <w:rFonts w:eastAsia="Calibri" w:cs="Times New Roman"/>
      <w:b/>
      <w:color w:val="auto"/>
      <w:sz w:val="28"/>
      <w:bdr w:val="none" w:sz="0" w:space="0" w:color="auto"/>
    </w:rPr>
  </w:style>
  <w:style w:type="paragraph" w:customStyle="1" w:styleId="P68B1DB1-Normale3">
    <w:name w:val="P68B1DB1-Normale3"/>
    <w:basedOn w:val="Normale"/>
    <w:rPr>
      <w:rFonts w:eastAsia="Calibri" w:cs="Times New Roman"/>
      <w:b/>
      <w:i/>
      <w:color w:val="auto"/>
      <w:bdr w:val="none" w:sz="0" w:space="0" w:color="auto"/>
    </w:rPr>
  </w:style>
  <w:style w:type="paragraph" w:customStyle="1" w:styleId="P68B1DB1-Normale4">
    <w:name w:val="P68B1DB1-Normale4"/>
    <w:basedOn w:val="Normale"/>
    <w:rPr>
      <w:rFonts w:eastAsia="Calibri" w:cs="Times New Roman"/>
      <w:color w:val="auto"/>
      <w:bdr w:val="none" w:sz="0" w:space="0" w:color="auto"/>
    </w:rPr>
  </w:style>
  <w:style w:type="paragraph" w:customStyle="1" w:styleId="P68B1DB1-Normale5">
    <w:name w:val="P68B1DB1-Normale5"/>
    <w:basedOn w:val="Normale"/>
    <w:rPr>
      <w:rFonts w:eastAsia="Times New Roman" w:cs="Times New Roman"/>
      <w:b/>
      <w:color w:val="333333"/>
    </w:rPr>
  </w:style>
  <w:style w:type="paragraph" w:customStyle="1" w:styleId="P68B1DB1-Intestazione6">
    <w:name w:val="P68B1DB1-Intestazione6"/>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6B5F4-BE76-4528-8F3F-ECAAA028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460</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4</cp:revision>
  <cp:lastPrinted>2020-11-02T16:06:00Z</cp:lastPrinted>
  <dcterms:created xsi:type="dcterms:W3CDTF">2022-10-29T04:34:00Z</dcterms:created>
  <dcterms:modified xsi:type="dcterms:W3CDTF">2022-10-29T16:18:00Z</dcterms:modified>
</cp:coreProperties>
</file>